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DF9D6E" w14:textId="62EA9E23" w:rsidR="006B7EA6" w:rsidRPr="006B7EA6" w:rsidRDefault="006B7EA6" w:rsidP="006B7EA6">
      <w:pPr>
        <w:rPr>
          <w:rFonts w:ascii="Georgia" w:hAnsi="Georgia" w:cs="Georgia"/>
          <w:sz w:val="20"/>
          <w:szCs w:val="20"/>
          <w:lang w:val="fr-FR"/>
        </w:rPr>
      </w:pPr>
      <w:r w:rsidRPr="006B7EA6">
        <w:rPr>
          <w:rFonts w:ascii="Arial" w:hAnsi="Arial" w:cs="Arial"/>
          <w:b/>
          <w:bCs/>
          <w:sz w:val="26"/>
          <w:szCs w:val="26"/>
          <w:lang w:val="fr-FR"/>
        </w:rPr>
        <w:t xml:space="preserve">Bâle, </w:t>
      </w:r>
      <w:r w:rsidRPr="006B7EA6">
        <w:rPr>
          <w:rFonts w:ascii="Arial" w:hAnsi="Arial" w:cs="Arial"/>
          <w:b/>
          <w:bCs/>
          <w:sz w:val="26"/>
          <w:szCs w:val="26"/>
          <w:lang w:val="fr-FR"/>
        </w:rPr>
        <w:t>colonial</w:t>
      </w:r>
      <w:r w:rsidR="003250E1">
        <w:rPr>
          <w:rFonts w:ascii="Arial" w:hAnsi="Arial" w:cs="Arial"/>
          <w:b/>
          <w:bCs/>
          <w:sz w:val="26"/>
          <w:szCs w:val="26"/>
          <w:lang w:val="fr-FR"/>
        </w:rPr>
        <w:t>e</w:t>
      </w:r>
      <w:r w:rsidRPr="006B7EA6">
        <w:rPr>
          <w:rFonts w:ascii="Arial" w:hAnsi="Arial" w:cs="Arial"/>
          <w:b/>
          <w:bCs/>
          <w:sz w:val="26"/>
          <w:szCs w:val="26"/>
          <w:lang w:val="fr-FR"/>
        </w:rPr>
        <w:br/>
      </w:r>
      <w:r w:rsidR="00B10045" w:rsidRPr="006B7EA6">
        <w:rPr>
          <w:rFonts w:ascii="Georgia" w:hAnsi="Georgia" w:cs="Georgia"/>
          <w:b/>
          <w:sz w:val="20"/>
          <w:szCs w:val="20"/>
          <w:lang w:val="fr-FR"/>
        </w:rPr>
        <w:br/>
      </w:r>
      <w:r w:rsidRPr="006B7EA6">
        <w:rPr>
          <w:rFonts w:ascii="Georgia" w:hAnsi="Georgia" w:cs="Georgia"/>
          <w:b/>
          <w:sz w:val="20"/>
          <w:szCs w:val="20"/>
          <w:lang w:val="fr-FR"/>
        </w:rPr>
        <w:t xml:space="preserve">La série « Aux yeux de tous » permet au public du Museum der </w:t>
      </w:r>
      <w:proofErr w:type="spellStart"/>
      <w:r w:rsidRPr="006B7EA6">
        <w:rPr>
          <w:rFonts w:ascii="Georgia" w:hAnsi="Georgia" w:cs="Georgia"/>
          <w:b/>
          <w:sz w:val="20"/>
          <w:szCs w:val="20"/>
          <w:lang w:val="fr-FR"/>
        </w:rPr>
        <w:t>Kulturen</w:t>
      </w:r>
      <w:proofErr w:type="spellEnd"/>
      <w:r w:rsidRPr="006B7EA6">
        <w:rPr>
          <w:rFonts w:ascii="Georgia" w:hAnsi="Georgia" w:cs="Georgia"/>
          <w:b/>
          <w:sz w:val="20"/>
          <w:szCs w:val="20"/>
          <w:lang w:val="fr-FR"/>
        </w:rPr>
        <w:t xml:space="preserve"> Basel d’assister de près à la manière dont sont menés des projets de recherche. Ainsi, du 12 au 31 août, dans le cadre de « Bâle, coloniale ».</w:t>
      </w:r>
    </w:p>
    <w:p w14:paraId="71540016" w14:textId="77777777" w:rsidR="006B7EA6" w:rsidRPr="006B7EA6" w:rsidRDefault="006B7EA6" w:rsidP="006B7EA6">
      <w:pPr>
        <w:rPr>
          <w:rFonts w:ascii="Georgia" w:hAnsi="Georgia" w:cs="Georgia"/>
          <w:sz w:val="20"/>
          <w:szCs w:val="20"/>
          <w:lang w:val="fr-FR"/>
        </w:rPr>
      </w:pPr>
      <w:r w:rsidRPr="006B7EA6">
        <w:rPr>
          <w:rFonts w:ascii="Georgia" w:hAnsi="Georgia" w:cs="Georgia"/>
          <w:sz w:val="20"/>
          <w:szCs w:val="20"/>
          <w:lang w:val="fr-FR"/>
        </w:rPr>
        <w:t xml:space="preserve">Le projet « Au banc d’essai » réunit six </w:t>
      </w:r>
      <w:proofErr w:type="spellStart"/>
      <w:r w:rsidRPr="006B7EA6">
        <w:rPr>
          <w:rFonts w:ascii="Georgia" w:hAnsi="Georgia" w:cs="Georgia"/>
          <w:sz w:val="20"/>
          <w:szCs w:val="20"/>
          <w:lang w:val="fr-FR"/>
        </w:rPr>
        <w:t>chercheur·ses</w:t>
      </w:r>
      <w:proofErr w:type="spellEnd"/>
      <w:r w:rsidRPr="006B7EA6">
        <w:rPr>
          <w:rFonts w:ascii="Georgia" w:hAnsi="Georgia" w:cs="Georgia"/>
          <w:sz w:val="20"/>
          <w:szCs w:val="20"/>
          <w:lang w:val="fr-FR"/>
        </w:rPr>
        <w:t xml:space="preserve"> dont le travail en cours examine des objets provenant du monde entier et conservés dans les collections du Museum der </w:t>
      </w:r>
      <w:proofErr w:type="spellStart"/>
      <w:r w:rsidRPr="006B7EA6">
        <w:rPr>
          <w:rFonts w:ascii="Georgia" w:hAnsi="Georgia" w:cs="Georgia"/>
          <w:sz w:val="20"/>
          <w:szCs w:val="20"/>
          <w:lang w:val="fr-FR"/>
        </w:rPr>
        <w:t>Kulturen</w:t>
      </w:r>
      <w:proofErr w:type="spellEnd"/>
      <w:r w:rsidRPr="006B7EA6">
        <w:rPr>
          <w:rFonts w:ascii="Georgia" w:hAnsi="Georgia" w:cs="Georgia"/>
          <w:sz w:val="20"/>
          <w:szCs w:val="20"/>
          <w:lang w:val="fr-FR"/>
        </w:rPr>
        <w:t xml:space="preserve"> Basel (MKB). Ce faisant, chaque pays est minutieusement étudié afin de déterminer où, quand, comment et pourquoi ces objets sont parvenus à Bâle.</w:t>
      </w:r>
    </w:p>
    <w:p w14:paraId="58EB9B1E" w14:textId="77777777" w:rsidR="006B7EA6" w:rsidRPr="006B7EA6" w:rsidRDefault="006B7EA6" w:rsidP="006B7EA6">
      <w:pPr>
        <w:rPr>
          <w:rFonts w:ascii="Georgia" w:hAnsi="Georgia" w:cs="Georgia"/>
          <w:sz w:val="20"/>
          <w:szCs w:val="20"/>
          <w:lang w:val="fr-FR"/>
        </w:rPr>
      </w:pPr>
      <w:r w:rsidRPr="006B7EA6">
        <w:rPr>
          <w:rFonts w:ascii="Georgia" w:hAnsi="Georgia" w:cs="Georgia"/>
          <w:sz w:val="20"/>
          <w:szCs w:val="20"/>
          <w:lang w:val="fr-FR"/>
        </w:rPr>
        <w:t xml:space="preserve">La recherche de provenance pour les années 2023 à 2026 a bénéficié de fonds alloués par Bâle-Ville. À partir du 12 août, les </w:t>
      </w:r>
      <w:proofErr w:type="spellStart"/>
      <w:r w:rsidRPr="006B7EA6">
        <w:rPr>
          <w:rFonts w:ascii="Georgia" w:hAnsi="Georgia" w:cs="Georgia"/>
          <w:sz w:val="20"/>
          <w:szCs w:val="20"/>
          <w:lang w:val="fr-FR"/>
        </w:rPr>
        <w:t>chercheur·ses</w:t>
      </w:r>
      <w:proofErr w:type="spellEnd"/>
      <w:r w:rsidRPr="006B7EA6">
        <w:rPr>
          <w:rFonts w:ascii="Georgia" w:hAnsi="Georgia" w:cs="Georgia"/>
          <w:sz w:val="20"/>
          <w:szCs w:val="20"/>
          <w:lang w:val="fr-FR"/>
        </w:rPr>
        <w:t xml:space="preserve"> présenteront dans l’une des salles d’exposition leur mode de travail, les sources étudiées et les découvertes effectuées jusqu’à présent. Des histoires passionnantes entourent les objets sélectionnés pour l’occasion, lesquels révèlent toute l’envergure de l’histoire coloniale de Bâle. Même si la Suisse n’a jamais été une puissance coloniale, ses intrications dans le tissu colonial n’en sont pas moindres. D’où le titre « Aux yeux de tous : Bâle, coloniale ».</w:t>
      </w:r>
    </w:p>
    <w:p w14:paraId="6A7BF4A2" w14:textId="77777777" w:rsidR="006B7EA6" w:rsidRPr="006B7EA6" w:rsidRDefault="006B7EA6" w:rsidP="006B7EA6">
      <w:pPr>
        <w:rPr>
          <w:rFonts w:ascii="Georgia" w:hAnsi="Georgia" w:cs="Georgia"/>
          <w:sz w:val="20"/>
          <w:szCs w:val="20"/>
          <w:lang w:val="fr-FR"/>
        </w:rPr>
      </w:pPr>
      <w:r w:rsidRPr="006B7EA6">
        <w:rPr>
          <w:rFonts w:ascii="Georgia" w:hAnsi="Georgia" w:cs="Georgia"/>
          <w:sz w:val="20"/>
          <w:szCs w:val="20"/>
          <w:lang w:val="fr-FR"/>
        </w:rPr>
        <w:t>Des pièces de métal sont parvenues au MKB par l’intermédiaire d’un Bâlois engagé dans une opération militaire au Congo belge. Une statue indonésienne et une petite cahute thaïlandaise destinée à un nouveau bâtiment ont été rapportés par des scientifiques bâlois lors de voyages de recherche. D’autres Bâlois, en déplacement pour leur entreprise ou à des fins commerciales, sont revenus avec des statues chinoises ou même des chaussures, littéralement arrachées aux pieds d’habitants du Caucase.</w:t>
      </w:r>
    </w:p>
    <w:p w14:paraId="271C51FB" w14:textId="77777777" w:rsidR="006B7EA6" w:rsidRPr="006B7EA6" w:rsidRDefault="006B7EA6" w:rsidP="006B7EA6">
      <w:pPr>
        <w:rPr>
          <w:rFonts w:ascii="Georgia" w:hAnsi="Georgia" w:cs="Georgia"/>
          <w:sz w:val="20"/>
          <w:szCs w:val="20"/>
          <w:lang w:val="fr-FR"/>
        </w:rPr>
      </w:pPr>
      <w:r w:rsidRPr="006B7EA6">
        <w:rPr>
          <w:rFonts w:ascii="Georgia" w:hAnsi="Georgia" w:cs="Georgia"/>
          <w:sz w:val="20"/>
          <w:szCs w:val="20"/>
          <w:lang w:val="fr-FR"/>
        </w:rPr>
        <w:t>Des ceintures et paniers de Colombie, une chaussette copte d’Égypte et des tessons de poterie d’Algérie ont été fournis par des collectionneurs professionnels et des antiquaires. Une corne remplie de remèdes et des sièges du Cameroun proviennent de missionnaires bâlois. Une Bâloise travaillant au Japon a fait don au MKB d’un jouet en forme de vache destiné au marché touristique.</w:t>
      </w:r>
    </w:p>
    <w:p w14:paraId="24BA0395" w14:textId="55E3EC84" w:rsidR="006B7EA6" w:rsidRPr="006B7EA6" w:rsidRDefault="006B7EA6" w:rsidP="006B7EA6">
      <w:pPr>
        <w:rPr>
          <w:rFonts w:ascii="Georgia" w:hAnsi="Georgia" w:cs="Georgia"/>
          <w:sz w:val="20"/>
          <w:szCs w:val="20"/>
          <w:lang w:val="en-GB"/>
        </w:rPr>
      </w:pPr>
      <w:r w:rsidRPr="003250E1">
        <w:rPr>
          <w:rFonts w:ascii="Georgia" w:hAnsi="Georgia" w:cs="Georgia"/>
          <w:b/>
          <w:bCs/>
          <w:sz w:val="20"/>
          <w:szCs w:val="20"/>
          <w:lang w:val="fr-FR"/>
        </w:rPr>
        <w:t>L’importance des visites</w:t>
      </w:r>
      <w:r w:rsidRPr="003250E1">
        <w:rPr>
          <w:rFonts w:ascii="Georgia" w:hAnsi="Georgia" w:cs="Georgia"/>
          <w:b/>
          <w:bCs/>
          <w:sz w:val="20"/>
          <w:szCs w:val="20"/>
          <w:lang w:val="fr-FR"/>
        </w:rPr>
        <w:br/>
      </w:r>
      <w:r w:rsidRPr="006B7EA6">
        <w:rPr>
          <w:rFonts w:ascii="Georgia" w:hAnsi="Georgia" w:cs="Georgia"/>
          <w:sz w:val="20"/>
          <w:szCs w:val="20"/>
          <w:lang w:val="fr-FR"/>
        </w:rPr>
        <w:t xml:space="preserve">Certes l’attention porte d’abord sur les objets – qui seront traités et entretenus également aux yeux de tous par le département Conservation &amp; Restauration tout au long de la présentation jusqu’au 31 août –, mais la recherche de provenance montre aussi le rôle majeur des individus : Qui étaient-ils ? Comment voyageaient les </w:t>
      </w:r>
      <w:proofErr w:type="spellStart"/>
      <w:r w:rsidRPr="006B7EA6">
        <w:rPr>
          <w:rFonts w:ascii="Georgia" w:hAnsi="Georgia" w:cs="Georgia"/>
          <w:sz w:val="20"/>
          <w:szCs w:val="20"/>
          <w:lang w:val="fr-FR"/>
        </w:rPr>
        <w:t>collectionneur·ses</w:t>
      </w:r>
      <w:proofErr w:type="spellEnd"/>
      <w:r w:rsidRPr="006B7EA6">
        <w:rPr>
          <w:rFonts w:ascii="Georgia" w:hAnsi="Georgia" w:cs="Georgia"/>
          <w:sz w:val="20"/>
          <w:szCs w:val="20"/>
          <w:lang w:val="fr-FR"/>
        </w:rPr>
        <w:t>, combien de temps restaient-ils sur place et qu’y faisaient-ils ?</w:t>
      </w:r>
    </w:p>
    <w:p w14:paraId="134A398A" w14:textId="77777777" w:rsidR="006B7EA6" w:rsidRPr="006B7EA6" w:rsidRDefault="006B7EA6" w:rsidP="006B7EA6">
      <w:pPr>
        <w:rPr>
          <w:rFonts w:ascii="Georgia" w:hAnsi="Georgia" w:cs="Georgia"/>
          <w:sz w:val="20"/>
          <w:szCs w:val="20"/>
          <w:lang w:val="fr-FR"/>
        </w:rPr>
      </w:pPr>
      <w:r w:rsidRPr="006B7EA6">
        <w:rPr>
          <w:rFonts w:ascii="Georgia" w:hAnsi="Georgia" w:cs="Georgia"/>
          <w:sz w:val="20"/>
          <w:szCs w:val="20"/>
          <w:lang w:val="fr-FR"/>
        </w:rPr>
        <w:t xml:space="preserve">Les </w:t>
      </w:r>
      <w:proofErr w:type="spellStart"/>
      <w:r w:rsidRPr="006B7EA6">
        <w:rPr>
          <w:rFonts w:ascii="Georgia" w:hAnsi="Georgia" w:cs="Georgia"/>
          <w:sz w:val="20"/>
          <w:szCs w:val="20"/>
          <w:lang w:val="fr-FR"/>
        </w:rPr>
        <w:t>chercheur·ses</w:t>
      </w:r>
      <w:proofErr w:type="spellEnd"/>
      <w:r w:rsidRPr="006B7EA6">
        <w:rPr>
          <w:rFonts w:ascii="Georgia" w:hAnsi="Georgia" w:cs="Georgia"/>
          <w:sz w:val="20"/>
          <w:szCs w:val="20"/>
          <w:lang w:val="fr-FR"/>
        </w:rPr>
        <w:t xml:space="preserve"> interrogent en outre la formulation des documents : Que signifie « acquis » ? Que veut dire ici « emporter » ? Comment comprendre la notion de « présent » fait à quelqu’un ? Les réponses fournies notamment par </w:t>
      </w:r>
      <w:proofErr w:type="gramStart"/>
      <w:r w:rsidRPr="006B7EA6">
        <w:rPr>
          <w:rFonts w:ascii="Georgia" w:hAnsi="Georgia" w:cs="Georgia"/>
          <w:sz w:val="20"/>
          <w:szCs w:val="20"/>
          <w:lang w:val="fr-FR"/>
        </w:rPr>
        <w:t xml:space="preserve">les </w:t>
      </w:r>
      <w:proofErr w:type="spellStart"/>
      <w:r w:rsidRPr="006B7EA6">
        <w:rPr>
          <w:rFonts w:ascii="Georgia" w:hAnsi="Georgia" w:cs="Georgia"/>
          <w:sz w:val="20"/>
          <w:szCs w:val="20"/>
          <w:lang w:val="fr-FR"/>
        </w:rPr>
        <w:t>chercheur</w:t>
      </w:r>
      <w:proofErr w:type="gramEnd"/>
      <w:r w:rsidRPr="006B7EA6">
        <w:rPr>
          <w:rFonts w:ascii="Georgia" w:hAnsi="Georgia" w:cs="Georgia"/>
          <w:sz w:val="20"/>
          <w:szCs w:val="20"/>
          <w:lang w:val="fr-FR"/>
        </w:rPr>
        <w:t>·ses</w:t>
      </w:r>
      <w:proofErr w:type="spellEnd"/>
      <w:r w:rsidRPr="006B7EA6">
        <w:rPr>
          <w:rFonts w:ascii="Georgia" w:hAnsi="Georgia" w:cs="Georgia"/>
          <w:sz w:val="20"/>
          <w:szCs w:val="20"/>
          <w:lang w:val="fr-FR"/>
        </w:rPr>
        <w:t xml:space="preserve"> et autochtones des pays concernés sont très attendues. Et leurs visites à Bâle sont d’ailleurs toujours l’occasion de (nouveaux) éclairages.</w:t>
      </w:r>
    </w:p>
    <w:p w14:paraId="66F722F3" w14:textId="77777777" w:rsidR="006B7EA6" w:rsidRPr="006B7EA6" w:rsidRDefault="006B7EA6" w:rsidP="006B7EA6">
      <w:pPr>
        <w:rPr>
          <w:rFonts w:ascii="Georgia" w:hAnsi="Georgia" w:cs="Georgia"/>
          <w:sz w:val="20"/>
          <w:szCs w:val="20"/>
          <w:lang w:val="fr-FR"/>
        </w:rPr>
      </w:pPr>
      <w:r w:rsidRPr="006B7EA6">
        <w:rPr>
          <w:rFonts w:ascii="Georgia" w:hAnsi="Georgia" w:cs="Georgia"/>
          <w:sz w:val="20"/>
          <w:szCs w:val="20"/>
          <w:lang w:val="fr-FR"/>
        </w:rPr>
        <w:t>De nouvelles formes de collaboration voient ainsi le jour. Par exemple, avec des scientifiques des Philippines, qui présentent en ligne des objets de leur pays se trouvant dans des institutions du monde entier.</w:t>
      </w:r>
    </w:p>
    <w:p w14:paraId="77D383D1" w14:textId="77777777" w:rsidR="006B7EA6" w:rsidRPr="006B7EA6" w:rsidRDefault="006B7EA6" w:rsidP="006B7EA6">
      <w:pPr>
        <w:rPr>
          <w:rFonts w:ascii="Georgia" w:hAnsi="Georgia" w:cs="Georgia"/>
          <w:sz w:val="20"/>
          <w:szCs w:val="20"/>
          <w:lang w:val="fr-FR"/>
        </w:rPr>
      </w:pPr>
      <w:r w:rsidRPr="006B7EA6">
        <w:rPr>
          <w:rFonts w:ascii="Georgia" w:hAnsi="Georgia" w:cs="Georgia"/>
          <w:sz w:val="20"/>
          <w:szCs w:val="20"/>
          <w:lang w:val="fr-FR"/>
        </w:rPr>
        <w:t>La recherche de provenance prône aussi le dialogue avec le public des musées. Chercheuses et chercheurs sont disponibles à tout moment pour répondre aux questions.</w:t>
      </w:r>
    </w:p>
    <w:p w14:paraId="057E3EBA" w14:textId="6DD49454" w:rsidR="00D07E41" w:rsidRPr="006B7EA6" w:rsidRDefault="003250E1" w:rsidP="00560CEE">
      <w:pPr>
        <w:rPr>
          <w:rFonts w:ascii="Georgia" w:hAnsi="Georgia" w:cs="Georgia"/>
          <w:sz w:val="18"/>
          <w:szCs w:val="18"/>
          <w:lang w:val="fr-FR"/>
        </w:rPr>
      </w:pPr>
      <w:r>
        <w:rPr>
          <w:rFonts w:ascii="Georgia" w:hAnsi="Georgia" w:cs="Georgia"/>
          <w:sz w:val="18"/>
          <w:szCs w:val="18"/>
          <w:lang w:val="fr-FR"/>
        </w:rPr>
        <w:br/>
      </w:r>
      <w:r w:rsidR="006B7EA6" w:rsidRPr="006B7EA6">
        <w:rPr>
          <w:rFonts w:ascii="Georgia" w:hAnsi="Georgia" w:cs="Georgia"/>
          <w:sz w:val="18"/>
          <w:szCs w:val="18"/>
          <w:lang w:val="fr-FR"/>
        </w:rPr>
        <w:t xml:space="preserve">Une publication sur le projet « Au banc d’essai » paraîtra à la fin de l’été. Des visuels en lien avec la série « Aux yeux de tous : Bâle, coloniale » sont accessibles sur notre </w:t>
      </w:r>
      <w:hyperlink r:id="rId6" w:history="1">
        <w:r w:rsidR="006B7EA6" w:rsidRPr="003250E1">
          <w:rPr>
            <w:rStyle w:val="Hyperlink"/>
            <w:rFonts w:ascii="Georgia" w:hAnsi="Georgia" w:cs="Georgia"/>
            <w:sz w:val="18"/>
            <w:szCs w:val="18"/>
            <w:lang w:val="fr-FR"/>
          </w:rPr>
          <w:t>site internet</w:t>
        </w:r>
      </w:hyperlink>
      <w:r w:rsidR="006B7EA6" w:rsidRPr="006B7EA6">
        <w:rPr>
          <w:rFonts w:ascii="Georgia" w:hAnsi="Georgia" w:cs="Georgia"/>
          <w:sz w:val="18"/>
          <w:szCs w:val="18"/>
          <w:lang w:val="fr-FR"/>
        </w:rPr>
        <w:t>.</w:t>
      </w:r>
    </w:p>
    <w:sectPr w:rsidR="00D07E41" w:rsidRPr="006B7EA6" w:rsidSect="00333B84">
      <w:headerReference w:type="default" r:id="rId7"/>
      <w:footerReference w:type="even" r:id="rId8"/>
      <w:footerReference w:type="default" r:id="rId9"/>
      <w:pgSz w:w="11906" w:h="16838"/>
      <w:pgMar w:top="2327" w:right="1417" w:bottom="1134" w:left="1417" w:header="0"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DC1D1F" w14:textId="77777777" w:rsidR="001E549B" w:rsidRDefault="00DA5995">
      <w:pPr>
        <w:spacing w:after="0" w:line="240" w:lineRule="auto"/>
      </w:pPr>
      <w:r>
        <w:separator/>
      </w:r>
    </w:p>
  </w:endnote>
  <w:endnote w:type="continuationSeparator" w:id="0">
    <w:p w14:paraId="784DE171" w14:textId="77777777" w:rsidR="001E549B" w:rsidRDefault="00DA59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058C4B" w14:textId="77777777" w:rsidR="00D07E41" w:rsidRDefault="00C06D79" w:rsidP="00425226">
    <w:pPr>
      <w:pStyle w:val="Fuzeile"/>
      <w:framePr w:wrap="none" w:vAnchor="text" w:hAnchor="margin" w:xAlign="right" w:y="1"/>
      <w:rPr>
        <w:rStyle w:val="Seitenzahl"/>
      </w:rPr>
    </w:pPr>
    <w:r>
      <w:rPr>
        <w:rStyle w:val="Seitenzahl"/>
      </w:rPr>
      <w:fldChar w:fldCharType="begin"/>
    </w:r>
    <w:r>
      <w:rPr>
        <w:rStyle w:val="Seitenzahl"/>
      </w:rPr>
      <w:instrText xml:space="preserve">PAGE  </w:instrText>
    </w:r>
    <w:r>
      <w:rPr>
        <w:rStyle w:val="Seitenzahl"/>
      </w:rPr>
      <w:fldChar w:fldCharType="end"/>
    </w:r>
  </w:p>
  <w:p w14:paraId="30E3E753" w14:textId="77777777" w:rsidR="00D07E41" w:rsidRDefault="00C06D79" w:rsidP="00E65D1A">
    <w:pPr>
      <w:pStyle w:val="Fuzeile"/>
      <w:framePr w:wrap="none" w:vAnchor="text" w:hAnchor="margin" w:xAlign="right" w:y="1"/>
      <w:ind w:right="360"/>
      <w:rPr>
        <w:rStyle w:val="Seitenzahl"/>
      </w:rPr>
    </w:pPr>
    <w:r>
      <w:rPr>
        <w:rStyle w:val="Seitenzahl"/>
      </w:rPr>
      <w:fldChar w:fldCharType="begin"/>
    </w:r>
    <w:r>
      <w:rPr>
        <w:rStyle w:val="Seitenzahl"/>
      </w:rPr>
      <w:instrText xml:space="preserve">PAGE  </w:instrText>
    </w:r>
    <w:r>
      <w:rPr>
        <w:rStyle w:val="Seitenzahl"/>
      </w:rPr>
      <w:fldChar w:fldCharType="end"/>
    </w:r>
  </w:p>
  <w:p w14:paraId="322E18F8" w14:textId="77777777" w:rsidR="00D07E41" w:rsidRDefault="00D07E41" w:rsidP="00E65D1A">
    <w:pPr>
      <w:pStyle w:val="Fuzeil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DEFB32" w14:textId="77777777" w:rsidR="00D07E41" w:rsidRPr="00121B5D" w:rsidRDefault="00C06D79" w:rsidP="00E65D1A">
    <w:pPr>
      <w:pStyle w:val="Fuzeile"/>
      <w:ind w:right="360"/>
      <w:rPr>
        <w:rFonts w:ascii="Arial" w:hAnsi="Arial" w:cs="Arial"/>
      </w:rPr>
    </w:pPr>
    <w:r>
      <w:rPr>
        <w:rFonts w:ascii="Arial" w:hAnsi="Arial"/>
        <w:noProof/>
        <w:lang w:eastAsia="de-CH"/>
      </w:rPr>
      <w:drawing>
        <wp:anchor distT="0" distB="0" distL="114300" distR="114300" simplePos="0" relativeHeight="251659264" behindDoc="1" locked="0" layoutInCell="1" allowOverlap="1" wp14:anchorId="14FC68ED" wp14:editId="325200C6">
          <wp:simplePos x="0" y="0"/>
          <wp:positionH relativeFrom="column">
            <wp:posOffset>-926889</wp:posOffset>
          </wp:positionH>
          <wp:positionV relativeFrom="paragraph">
            <wp:posOffset>185632</wp:posOffset>
          </wp:positionV>
          <wp:extent cx="7556400" cy="576000"/>
          <wp:effectExtent l="0" t="0" r="0" b="8255"/>
          <wp:wrapNone/>
          <wp:docPr id="4" name="Bild 4" descr="../../../../Krea/Logo_Head_Address/Fusszeile_MKB_A4.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rea/Logo_Head_Address/Fusszeile_MKB_A4.pdf"/>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6400" cy="5760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E5788BA" w14:textId="77777777" w:rsidR="00D07E41" w:rsidRPr="00374064" w:rsidRDefault="00D07E41" w:rsidP="00E65D1A">
    <w:pPr>
      <w:pStyle w:val="Fuzeile"/>
      <w:ind w:right="360"/>
      <w:rPr>
        <w:rFonts w:ascii="Arial" w:hAnsi="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03B631" w14:textId="77777777" w:rsidR="001E549B" w:rsidRDefault="00DA5995">
      <w:pPr>
        <w:spacing w:after="0" w:line="240" w:lineRule="auto"/>
      </w:pPr>
      <w:r>
        <w:separator/>
      </w:r>
    </w:p>
  </w:footnote>
  <w:footnote w:type="continuationSeparator" w:id="0">
    <w:p w14:paraId="3A39F60D" w14:textId="77777777" w:rsidR="001E549B" w:rsidRDefault="00DA599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401089" w14:textId="77777777" w:rsidR="00D07E41" w:rsidRDefault="00C06D79" w:rsidP="001E3343">
    <w:pPr>
      <w:pStyle w:val="Kopfzeile"/>
      <w:ind w:hanging="1417"/>
    </w:pPr>
    <w:r w:rsidRPr="001E3343">
      <w:rPr>
        <w:noProof/>
        <w:lang w:eastAsia="de-CH"/>
      </w:rPr>
      <w:drawing>
        <wp:anchor distT="0" distB="0" distL="114300" distR="114300" simplePos="0" relativeHeight="251660288" behindDoc="0" locked="0" layoutInCell="1" allowOverlap="1" wp14:anchorId="3D09DB49" wp14:editId="3E2E4714">
          <wp:simplePos x="0" y="0"/>
          <wp:positionH relativeFrom="column">
            <wp:posOffset>-946462</wp:posOffset>
          </wp:positionH>
          <wp:positionV relativeFrom="paragraph">
            <wp:posOffset>0</wp:posOffset>
          </wp:positionV>
          <wp:extent cx="7534800" cy="1076400"/>
          <wp:effectExtent l="0" t="0" r="9525" b="9525"/>
          <wp:wrapNone/>
          <wp:docPr id="2"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yeloveyou:Projekte:Museum der Kulturen:Krea:10_Geschäftsdrucksachen:Krea:Logo_Head_Address:Kopfzeile_MKB_A4.pdf"/>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34800" cy="1076400"/>
                  </a:xfrm>
                  <a:prstGeom prst="rect">
                    <a:avLst/>
                  </a:prstGeom>
                  <a:noFill/>
                  <a:ln>
                    <a:noFill/>
                  </a:ln>
                </pic:spPr>
              </pic:pic>
            </a:graphicData>
          </a:graphic>
          <wp14:sizeRelH relativeFrom="margin">
            <wp14:pctWidth>0</wp14:pctWidth>
          </wp14:sizeRelH>
          <wp14:sizeRelV relativeFrom="margin">
            <wp14:pctHeight>0</wp14:pctHeight>
          </wp14:sizeRelV>
        </wp:anchor>
      </w:drawing>
    </w:r>
    <w:r>
      <w:t xml:space="preserve">     </w:t>
    </w:r>
  </w:p>
  <w:p w14:paraId="69C71D27" w14:textId="77777777" w:rsidR="00D07E41" w:rsidRDefault="00C06D79" w:rsidP="001E3343">
    <w:pPr>
      <w:pStyle w:val="Kopfzeile"/>
    </w:pPr>
    <w:r>
      <w:rPr>
        <w:noProof/>
        <w:lang w:eastAsia="de-CH"/>
      </w:rPr>
      <mc:AlternateContent>
        <mc:Choice Requires="wps">
          <w:drawing>
            <wp:anchor distT="0" distB="0" distL="114300" distR="114300" simplePos="0" relativeHeight="251661312" behindDoc="0" locked="0" layoutInCell="1" allowOverlap="1" wp14:anchorId="10698FA7" wp14:editId="3CB8B4C9">
              <wp:simplePos x="0" y="0"/>
              <wp:positionH relativeFrom="column">
                <wp:posOffset>4510405</wp:posOffset>
              </wp:positionH>
              <wp:positionV relativeFrom="paragraph">
                <wp:posOffset>78105</wp:posOffset>
              </wp:positionV>
              <wp:extent cx="1356360" cy="350520"/>
              <wp:effectExtent l="0" t="0" r="0" b="0"/>
              <wp:wrapNone/>
              <wp:docPr id="3" name="Textfeld 3"/>
              <wp:cNvGraphicFramePr/>
              <a:graphic xmlns:a="http://schemas.openxmlformats.org/drawingml/2006/main">
                <a:graphicData uri="http://schemas.microsoft.com/office/word/2010/wordprocessingShape">
                  <wps:wsp>
                    <wps:cNvSpPr txBox="1"/>
                    <wps:spPr>
                      <a:xfrm>
                        <a:off x="0" y="0"/>
                        <a:ext cx="1356360" cy="35052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0EF47A02" w14:textId="1068D257" w:rsidR="00D07E41" w:rsidRPr="001E3343" w:rsidRDefault="00C06D79">
                          <w:pPr>
                            <w:rPr>
                              <w:rFonts w:ascii="Arial" w:hAnsi="Arial" w:cs="Arial"/>
                              <w:b/>
                              <w:sz w:val="18"/>
                              <w:szCs w:val="18"/>
                            </w:rPr>
                          </w:pPr>
                          <w:r>
                            <w:rPr>
                              <w:rFonts w:ascii="Arial" w:hAnsi="Arial" w:cs="Arial"/>
                              <w:b/>
                              <w:sz w:val="18"/>
                              <w:szCs w:val="18"/>
                            </w:rPr>
                            <w:t xml:space="preserve">      Medi</w:t>
                          </w:r>
                          <w:r w:rsidR="00E556C1">
                            <w:rPr>
                              <w:rFonts w:ascii="Arial" w:hAnsi="Arial" w:cs="Arial"/>
                              <w:b/>
                              <w:sz w:val="18"/>
                              <w:szCs w:val="18"/>
                            </w:rPr>
                            <w:t>a release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10698FA7" id="_x0000_t202" coordsize="21600,21600" o:spt="202" path="m,l,21600r21600,l21600,xe">
              <v:stroke joinstyle="miter"/>
              <v:path gradientshapeok="t" o:connecttype="rect"/>
            </v:shapetype>
            <v:shape id="Textfeld 3" o:spid="_x0000_s1026" type="#_x0000_t202" style="position:absolute;margin-left:355.15pt;margin-top:6.15pt;width:106.8pt;height:27.6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" fillcolor="white [3201]" stroked="f" strokeweight=".5pt">
              <v:textbox>
                <w:txbxContent>
                  <w:p w14:paraId="0EF47A02" w14:textId="1068D257" w:rsidR="00D07E41" w:rsidRPr="001E3343" w:rsidRDefault="00C06D79">
                    <w:pPr>
                      <w:rPr>
                        <w:rFonts w:ascii="Arial" w:hAnsi="Arial" w:cs="Arial"/>
                        <w:b/>
                        <w:sz w:val="18"/>
                        <w:szCs w:val="18"/>
                      </w:rPr>
                    </w:pPr>
                    <w:r>
                      <w:rPr>
                        <w:rFonts w:ascii="Arial" w:hAnsi="Arial" w:cs="Arial"/>
                        <w:b/>
                        <w:sz w:val="18"/>
                        <w:szCs w:val="18"/>
                      </w:rPr>
                      <w:t xml:space="preserve">      Medi</w:t>
                    </w:r>
                    <w:r w:rsidR="00E556C1">
                      <w:rPr>
                        <w:rFonts w:ascii="Arial" w:hAnsi="Arial" w:cs="Arial"/>
                        <w:b/>
                        <w:sz w:val="18"/>
                        <w:szCs w:val="18"/>
                      </w:rPr>
                      <w:t>a release</w:t>
                    </w:r>
                  </w:p>
                </w:txbxContent>
              </v:textbox>
            </v:shape>
          </w:pict>
        </mc:Fallback>
      </mc:AlternateContent>
    </w:r>
  </w:p>
  <w:p w14:paraId="16B642A7" w14:textId="77777777" w:rsidR="00D07E41" w:rsidRPr="001E3343" w:rsidRDefault="00C06D79" w:rsidP="001E3343">
    <w:pPr>
      <w:pStyle w:val="Kopfzeile"/>
    </w:pPr>
    <w:r>
      <w:tab/>
      <w:t>Medienmitteilung</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0045"/>
    <w:rsid w:val="00002E06"/>
    <w:rsid w:val="00042155"/>
    <w:rsid w:val="00063D67"/>
    <w:rsid w:val="000768A5"/>
    <w:rsid w:val="00095449"/>
    <w:rsid w:val="000E3C12"/>
    <w:rsid w:val="00140F4D"/>
    <w:rsid w:val="00144FD2"/>
    <w:rsid w:val="001E549B"/>
    <w:rsid w:val="001E6A72"/>
    <w:rsid w:val="00255BC8"/>
    <w:rsid w:val="00277794"/>
    <w:rsid w:val="002B2E1E"/>
    <w:rsid w:val="003250E1"/>
    <w:rsid w:val="003500B4"/>
    <w:rsid w:val="003741A3"/>
    <w:rsid w:val="003A4EB8"/>
    <w:rsid w:val="004030A9"/>
    <w:rsid w:val="004845FA"/>
    <w:rsid w:val="004A42BB"/>
    <w:rsid w:val="004B0049"/>
    <w:rsid w:val="0055781A"/>
    <w:rsid w:val="00560CEE"/>
    <w:rsid w:val="005D53E4"/>
    <w:rsid w:val="006206C2"/>
    <w:rsid w:val="00674732"/>
    <w:rsid w:val="006B7EA6"/>
    <w:rsid w:val="006E5B8D"/>
    <w:rsid w:val="00783B50"/>
    <w:rsid w:val="008F37CC"/>
    <w:rsid w:val="00A41456"/>
    <w:rsid w:val="00A53528"/>
    <w:rsid w:val="00AF091D"/>
    <w:rsid w:val="00B10045"/>
    <w:rsid w:val="00B74AA4"/>
    <w:rsid w:val="00BA2177"/>
    <w:rsid w:val="00C06D79"/>
    <w:rsid w:val="00C64AB6"/>
    <w:rsid w:val="00CE7C4C"/>
    <w:rsid w:val="00D07E41"/>
    <w:rsid w:val="00D63202"/>
    <w:rsid w:val="00DA5995"/>
    <w:rsid w:val="00DF3F52"/>
    <w:rsid w:val="00E556C1"/>
    <w:rsid w:val="00E71B0A"/>
    <w:rsid w:val="00E844F2"/>
    <w:rsid w:val="00FA198C"/>
    <w:rsid w:val="00FB327C"/>
    <w:rsid w:val="00FC1199"/>
    <w:rsid w:val="00FF3568"/>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A43B299"/>
  <w15:chartTrackingRefBased/>
  <w15:docId w15:val="{4BDB2EEB-184D-405E-B14B-EA18FA8F98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CH"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B10045"/>
    <w:pPr>
      <w:spacing w:after="200" w:line="276" w:lineRule="auto"/>
    </w:p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B1004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B10045"/>
  </w:style>
  <w:style w:type="paragraph" w:styleId="Fuzeile">
    <w:name w:val="footer"/>
    <w:basedOn w:val="Standard"/>
    <w:link w:val="FuzeileZchn"/>
    <w:uiPriority w:val="99"/>
    <w:unhideWhenUsed/>
    <w:rsid w:val="00B10045"/>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B10045"/>
  </w:style>
  <w:style w:type="character" w:styleId="Seitenzahl">
    <w:name w:val="page number"/>
    <w:basedOn w:val="Absatz-Standardschriftart"/>
    <w:uiPriority w:val="99"/>
    <w:semiHidden/>
    <w:unhideWhenUsed/>
    <w:rsid w:val="00B10045"/>
  </w:style>
  <w:style w:type="character" w:styleId="Hyperlink">
    <w:name w:val="Hyperlink"/>
    <w:basedOn w:val="Absatz-Standardschriftart"/>
    <w:uiPriority w:val="99"/>
    <w:unhideWhenUsed/>
    <w:rsid w:val="00B10045"/>
    <w:rPr>
      <w:color w:val="0563C1" w:themeColor="hyperlink"/>
      <w:u w:val="single"/>
    </w:rPr>
  </w:style>
  <w:style w:type="character" w:styleId="NichtaufgelsteErwhnung">
    <w:name w:val="Unresolved Mention"/>
    <w:basedOn w:val="Absatz-Standardschriftart"/>
    <w:uiPriority w:val="99"/>
    <w:semiHidden/>
    <w:unhideWhenUsed/>
    <w:rsid w:val="003250E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7965475">
      <w:bodyDiv w:val="1"/>
      <w:marLeft w:val="0"/>
      <w:marRight w:val="0"/>
      <w:marTop w:val="0"/>
      <w:marBottom w:val="0"/>
      <w:divBdr>
        <w:top w:val="none" w:sz="0" w:space="0" w:color="auto"/>
        <w:left w:val="none" w:sz="0" w:space="0" w:color="auto"/>
        <w:bottom w:val="none" w:sz="0" w:space="0" w:color="auto"/>
        <w:right w:val="none" w:sz="0" w:space="0" w:color="auto"/>
      </w:divBdr>
    </w:div>
    <w:div w:id="14250349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mkb.ch/de/services/medien/cllp-0/medienbilder-audio-und-video.html"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emf"/></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482</Words>
  <Characters>3041</Characters>
  <Application>Microsoft Office Word</Application>
  <DocSecurity>0</DocSecurity>
  <Lines>25</Lines>
  <Paragraphs>7</Paragraphs>
  <ScaleCrop>false</ScaleCrop>
  <HeadingPairs>
    <vt:vector size="2" baseType="variant">
      <vt:variant>
        <vt:lpstr>Titel</vt:lpstr>
      </vt:variant>
      <vt:variant>
        <vt:i4>1</vt:i4>
      </vt:variant>
    </vt:vector>
  </HeadingPairs>
  <TitlesOfParts>
    <vt:vector size="1" baseType="lpstr">
      <vt:lpstr/>
    </vt:vector>
  </TitlesOfParts>
  <Company>Kanton Basel-Stadt</Company>
  <LinksUpToDate>false</LinksUpToDate>
  <CharactersWithSpaces>3516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Masek, Andrea</dc:creator>
  <cp:keywords/>
  <dc:description/>
  <cp:lastModifiedBy>Masek, Andrea</cp:lastModifiedBy>
  <cp:revision>30</cp:revision>
  <dcterms:created xsi:type="dcterms:W3CDTF">2025-03-06T08:08:00Z</dcterms:created>
  <dcterms:modified xsi:type="dcterms:W3CDTF">2025-07-21T07:14:00Z</dcterms:modified>
</cp:coreProperties>
</file>